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32" w:rsidRDefault="00A83132" w:rsidP="00A83132">
      <w:pPr>
        <w:spacing w:after="0"/>
        <w:ind w:left="426"/>
        <w:jc w:val="right"/>
        <w:rPr>
          <w:color w:val="000000"/>
          <w:sz w:val="20"/>
          <w:lang w:val="kk-KZ"/>
        </w:rPr>
      </w:pP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br/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басшылары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педагогтерін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лауазымға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тағайындау</w:t>
      </w:r>
      <w:proofErr w:type="spellEnd"/>
      <w:proofErr w:type="gramStart"/>
      <w:r>
        <w:rPr>
          <w:color w:val="000000"/>
          <w:sz w:val="20"/>
        </w:rPr>
        <w:t>,</w:t>
      </w:r>
      <w:proofErr w:type="gramEnd"/>
      <w:r>
        <w:br/>
      </w:r>
      <w:proofErr w:type="spellStart"/>
      <w:r>
        <w:rPr>
          <w:color w:val="000000"/>
          <w:sz w:val="20"/>
        </w:rPr>
        <w:t>лауазымнан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босату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қағидаларына</w:t>
      </w:r>
      <w:proofErr w:type="spellEnd"/>
      <w:r>
        <w:br/>
      </w:r>
      <w:r>
        <w:rPr>
          <w:color w:val="000000"/>
          <w:sz w:val="20"/>
        </w:rPr>
        <w:t>1-қосымша</w:t>
      </w:r>
    </w:p>
    <w:p w:rsidR="00386F70" w:rsidRDefault="00386F70" w:rsidP="00A83132">
      <w:pPr>
        <w:spacing w:after="0"/>
        <w:ind w:left="426"/>
        <w:jc w:val="right"/>
        <w:rPr>
          <w:color w:val="000000"/>
          <w:sz w:val="20"/>
          <w:lang w:val="kk-KZ"/>
        </w:rPr>
      </w:pPr>
      <w:r>
        <w:rPr>
          <w:color w:val="000000"/>
          <w:sz w:val="20"/>
          <w:lang w:val="kk-KZ"/>
        </w:rPr>
        <w:t xml:space="preserve">(ҚР БҒМ 19.11.2021ж. №568 ж/е </w:t>
      </w:r>
    </w:p>
    <w:p w:rsidR="00386F70" w:rsidRDefault="00386F70" w:rsidP="00A83132">
      <w:pPr>
        <w:spacing w:after="0"/>
        <w:ind w:left="426"/>
        <w:jc w:val="right"/>
        <w:rPr>
          <w:color w:val="000000"/>
          <w:sz w:val="20"/>
          <w:lang w:val="kk-KZ"/>
        </w:rPr>
      </w:pPr>
      <w:r>
        <w:rPr>
          <w:color w:val="000000"/>
          <w:sz w:val="20"/>
          <w:lang w:val="kk-KZ"/>
        </w:rPr>
        <w:t>ҚР ЕХӘҚМ 22.11.2021 ж. №432</w:t>
      </w:r>
    </w:p>
    <w:p w:rsidR="00386F70" w:rsidRPr="00386F70" w:rsidRDefault="00386F70" w:rsidP="00A83132">
      <w:pPr>
        <w:spacing w:after="0"/>
        <w:ind w:left="426"/>
        <w:jc w:val="right"/>
        <w:rPr>
          <w:color w:val="000000"/>
          <w:sz w:val="20"/>
          <w:lang w:val="kk-KZ"/>
        </w:rPr>
      </w:pPr>
      <w:r>
        <w:rPr>
          <w:color w:val="000000"/>
          <w:sz w:val="20"/>
          <w:lang w:val="kk-KZ"/>
        </w:rPr>
        <w:t xml:space="preserve"> бірлесакен бұйрығы)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9385" w:type="dxa"/>
        <w:tblLook w:val="04A0" w:firstRow="1" w:lastRow="0" w:firstColumn="1" w:lastColumn="0" w:noHBand="0" w:noVBand="1"/>
      </w:tblPr>
      <w:tblGrid>
        <w:gridCol w:w="9385"/>
      </w:tblGrid>
      <w:tr w:rsidR="00A83132" w:rsidRPr="00386F70" w:rsidTr="002B08F0">
        <w:trPr>
          <w:trHeight w:val="30"/>
        </w:trPr>
        <w:tc>
          <w:tcPr>
            <w:tcW w:w="0" w:type="auto"/>
          </w:tcPr>
          <w:p w:rsidR="00A83132" w:rsidRPr="00386F70" w:rsidRDefault="00A83132" w:rsidP="002B08F0">
            <w:pPr>
              <w:spacing w:after="20"/>
              <w:ind w:left="20"/>
              <w:jc w:val="both"/>
              <w:rPr>
                <w:lang w:val="kk-KZ"/>
              </w:rPr>
            </w:pPr>
            <w:r w:rsidRPr="00386F70">
              <w:rPr>
                <w:color w:val="000000"/>
                <w:sz w:val="20"/>
                <w:lang w:val="kk-KZ"/>
              </w:rPr>
              <w:t>"Мемлекеттік білім беру ұйымдарының бірінші басшыларын тағайындау конкурсына қатысу үшін құжаттар қабылдау" мемлекеттік көрсетілетін қызмет стандарты</w:t>
            </w:r>
          </w:p>
        </w:tc>
      </w:tr>
      <w:tr w:rsidR="00A83132" w:rsidRPr="00A83132" w:rsidTr="002B08F0">
        <w:trPr>
          <w:trHeight w:val="30"/>
        </w:trPr>
        <w:tc>
          <w:tcPr>
            <w:tcW w:w="9385" w:type="dxa"/>
          </w:tcPr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облыстардың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Нұр-Сұлтан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, Алматы, Шымкент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қалаларының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аудандардың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басқармалары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ә</w:t>
            </w:r>
            <w:proofErr w:type="gramStart"/>
            <w:r w:rsidRPr="00A8313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беруші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көрсетеді</w:t>
            </w:r>
            <w:proofErr w:type="spellEnd"/>
          </w:p>
        </w:tc>
      </w:tr>
      <w:tr w:rsidR="00A83132" w:rsidRPr="00A83132" w:rsidTr="002B08F0">
        <w:trPr>
          <w:trHeight w:val="30"/>
        </w:trPr>
        <w:tc>
          <w:tcPr>
            <w:tcW w:w="9385" w:type="dxa"/>
          </w:tcPr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құжаттарды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қабылдау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нәтижесін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беру: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кеңсесі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;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>2) "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Азаматтарға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корпорациясы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коммерциялық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емес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акционерлік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қоғамы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ә</w:t>
            </w:r>
            <w:proofErr w:type="gramStart"/>
            <w:r w:rsidRPr="00A8313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корпорация);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>3) "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үкіметтің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" веб-порталы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ә</w:t>
            </w:r>
            <w:proofErr w:type="gramStart"/>
            <w:r w:rsidRPr="00A8313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- портал)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асырылады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83132" w:rsidRPr="00A83132" w:rsidTr="002B08F0">
        <w:trPr>
          <w:trHeight w:val="30"/>
        </w:trPr>
        <w:tc>
          <w:tcPr>
            <w:tcW w:w="9385" w:type="dxa"/>
          </w:tcPr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көрсетудің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мерзімдері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: 1)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беруші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жү</w:t>
            </w:r>
            <w:proofErr w:type="gramStart"/>
            <w:r w:rsidRPr="00A83132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інген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– 20 минут;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жері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83132">
              <w:rPr>
                <w:color w:val="000000"/>
                <w:sz w:val="20"/>
                <w:lang w:val="ru-RU"/>
              </w:rPr>
              <w:t>корпорация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жүгінген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– 2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екі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;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 xml:space="preserve">3)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83132">
              <w:rPr>
                <w:color w:val="000000"/>
                <w:sz w:val="20"/>
                <w:lang w:val="ru-RU"/>
              </w:rPr>
              <w:t>корпорация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жері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емес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– 7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жеті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.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83132">
              <w:rPr>
                <w:color w:val="000000"/>
                <w:sz w:val="20"/>
                <w:lang w:val="ru-RU"/>
              </w:rPr>
              <w:t>корпорация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жүгінген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қабылдау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мерзіміне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кірмейді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;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 xml:space="preserve">4) портал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жүгінген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A83132">
              <w:rPr>
                <w:color w:val="000000"/>
                <w:sz w:val="20"/>
                <w:lang w:val="ru-RU"/>
              </w:rPr>
              <w:t>р</w:t>
            </w:r>
            <w:proofErr w:type="spellEnd"/>
            <w:proofErr w:type="gram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.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83132">
              <w:rPr>
                <w:color w:val="000000"/>
                <w:sz w:val="20"/>
                <w:lang w:val="ru-RU"/>
              </w:rPr>
              <w:t>Қабылдау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мерзі</w:t>
            </w:r>
            <w:proofErr w:type="gramStart"/>
            <w:r w:rsidRPr="00A83132">
              <w:rPr>
                <w:color w:val="000000"/>
                <w:sz w:val="20"/>
                <w:lang w:val="ru-RU"/>
              </w:rPr>
              <w:t>м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іне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кірмейді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;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корпорацияға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құжаттар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топтамасын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тапсыру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күтудің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8313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ұқсат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етілген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ұзақ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уақыты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– 20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жиырма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) минут;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алушыға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корпорацияда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көрсетудің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8313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ұқсат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етілген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ұзақ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уақыты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– 20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жиырма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) минут.</w:t>
            </w:r>
          </w:p>
        </w:tc>
      </w:tr>
      <w:tr w:rsidR="00A83132" w:rsidRPr="00A83132" w:rsidTr="002B08F0">
        <w:trPr>
          <w:trHeight w:val="30"/>
        </w:trPr>
        <w:tc>
          <w:tcPr>
            <w:tcW w:w="9385" w:type="dxa"/>
          </w:tcPr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8313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ішінара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автоматтандырылған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>)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тү</w:t>
            </w:r>
            <w:proofErr w:type="gramStart"/>
            <w:r w:rsidRPr="00A8313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інде</w:t>
            </w:r>
            <w:proofErr w:type="spellEnd"/>
          </w:p>
        </w:tc>
      </w:tr>
      <w:tr w:rsidR="00A83132" w:rsidRPr="00A83132" w:rsidTr="002B08F0">
        <w:trPr>
          <w:trHeight w:val="30"/>
        </w:trPr>
        <w:tc>
          <w:tcPr>
            <w:tcW w:w="9385" w:type="dxa"/>
          </w:tcPr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A83132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тү</w:t>
            </w:r>
            <w:proofErr w:type="gramStart"/>
            <w:r w:rsidRPr="00A8313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>інде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- осы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Қағидаларға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3-қосымшаға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нысан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конкурсқа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қатысуға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құжаттарды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қабылдау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қолхат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беру не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көрсетуден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дәлелді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бас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тарту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. </w:t>
            </w:r>
          </w:p>
          <w:p w:rsidR="00A83132" w:rsidRPr="00A83132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8313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түрде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жүгінген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алушының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кабинетіне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уәкілетті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адамының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ЭЦ</w:t>
            </w:r>
            <w:proofErr w:type="gramStart"/>
            <w:r w:rsidRPr="00A83132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A83132">
              <w:rPr>
                <w:color w:val="000000"/>
                <w:sz w:val="20"/>
                <w:lang w:val="ru-RU"/>
              </w:rPr>
              <w:t xml:space="preserve">мен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қол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қойылған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құжат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нысанында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конкурсқа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қатысуға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құжаттардың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қабылданғаны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хабарлама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не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дәлелді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бас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тарту</w:t>
            </w:r>
            <w:proofErr w:type="spellEnd"/>
            <w:r w:rsidRPr="00A831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83132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</w:tr>
      <w:tr w:rsidR="00A83132" w:rsidTr="002B08F0">
        <w:trPr>
          <w:trHeight w:val="30"/>
        </w:trPr>
        <w:tc>
          <w:tcPr>
            <w:tcW w:w="9385" w:type="dxa"/>
          </w:tcPr>
          <w:p w:rsidR="00A83132" w:rsidRDefault="00A83132" w:rsidP="002B08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A83132" w:rsidTr="002B08F0">
        <w:trPr>
          <w:trHeight w:val="30"/>
        </w:trPr>
        <w:tc>
          <w:tcPr>
            <w:tcW w:w="9385" w:type="dxa"/>
          </w:tcPr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дүйсенбі-жұма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броньдауға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). 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аккаунттарында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83132" w:rsidTr="002B08F0">
        <w:trPr>
          <w:trHeight w:val="30"/>
        </w:trPr>
        <w:tc>
          <w:tcPr>
            <w:tcW w:w="9385" w:type="dxa"/>
          </w:tcPr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5-қосымшаға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); 3) </w:t>
            </w:r>
            <w:proofErr w:type="spellStart"/>
            <w:r>
              <w:rPr>
                <w:color w:val="000000"/>
                <w:sz w:val="20"/>
              </w:rPr>
              <w:t>кадрларды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психоневрологиялық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Блім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перспективалық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11) </w:t>
            </w:r>
            <w:proofErr w:type="spellStart"/>
            <w:proofErr w:type="gramStart"/>
            <w:r>
              <w:rPr>
                <w:color w:val="000000"/>
                <w:sz w:val="20"/>
              </w:rPr>
              <w:t>түйіндеме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наградалары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тиімділік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ұсынады</w:t>
            </w:r>
            <w:proofErr w:type="spellEnd"/>
            <w:r>
              <w:rPr>
                <w:color w:val="000000"/>
                <w:sz w:val="20"/>
              </w:rPr>
              <w:t xml:space="preserve">. 4), 5), 6) 7), 8) 9) </w:t>
            </w:r>
            <w:proofErr w:type="spellStart"/>
            <w:r>
              <w:rPr>
                <w:color w:val="000000"/>
                <w:sz w:val="20"/>
              </w:rPr>
              <w:t>тармақшаларда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. 4), 5) </w:t>
            </w:r>
            <w:proofErr w:type="spellStart"/>
            <w:r>
              <w:rPr>
                <w:color w:val="000000"/>
                <w:sz w:val="20"/>
              </w:rPr>
              <w:t>тармақшаларда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кадр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83132" w:rsidTr="002B08F0">
        <w:trPr>
          <w:trHeight w:val="30"/>
        </w:trPr>
        <w:tc>
          <w:tcPr>
            <w:tcW w:w="9385" w:type="dxa"/>
          </w:tcPr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2)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83132" w:rsidRPr="00957F0A" w:rsidTr="002B08F0">
        <w:trPr>
          <w:trHeight w:val="30"/>
        </w:trPr>
        <w:tc>
          <w:tcPr>
            <w:tcW w:w="9385" w:type="dxa"/>
          </w:tcPr>
          <w:p w:rsidR="00A83132" w:rsidRDefault="00A83132" w:rsidP="002B08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өзіне-өзі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өздігінен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1414, 8 800 080 77777.</w:t>
            </w:r>
          </w:p>
          <w:p w:rsidR="00A83132" w:rsidRDefault="00A83132" w:rsidP="002B08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A83132" w:rsidRPr="00957F0A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957F0A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957F0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>;</w:t>
            </w:r>
          </w:p>
          <w:p w:rsidR="00A83132" w:rsidRPr="00957F0A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r w:rsidRPr="00957F0A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корпорацияның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957F0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957F0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A83132" w:rsidRPr="00957F0A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57F0A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мәселелері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жөніндегі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анықтама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қызметтерінің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телефондары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957F0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A83132" w:rsidRPr="00957F0A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57F0A">
              <w:rPr>
                <w:color w:val="000000"/>
                <w:sz w:val="20"/>
                <w:lang w:val="ru-RU"/>
              </w:rPr>
              <w:t>Цифрлық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құжаттар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сервисі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мобильді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қосымшада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авторландырылған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пайдаланушылар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қолжетімді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>.</w:t>
            </w:r>
          </w:p>
          <w:p w:rsidR="00A83132" w:rsidRPr="00957F0A" w:rsidRDefault="00A83132" w:rsidP="002B08F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57F0A">
              <w:rPr>
                <w:color w:val="000000"/>
                <w:sz w:val="20"/>
                <w:lang w:val="ru-RU"/>
              </w:rPr>
              <w:t>Цифрлық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құжатты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пайдалану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электронды</w:t>
            </w:r>
            <w:proofErr w:type="gramStart"/>
            <w:r w:rsidRPr="00957F0A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957F0A">
              <w:rPr>
                <w:color w:val="000000"/>
                <w:sz w:val="20"/>
                <w:lang w:val="ru-RU"/>
              </w:rPr>
              <w:t>цифрлық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қолтаңбаны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бір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реттік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парольді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пайдалана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мобильді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қосымшада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авторландырудан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өту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одан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цифрлық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құжаттар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бөліміне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өтіп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қажетті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құжатты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таңдау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7F0A">
              <w:rPr>
                <w:color w:val="000000"/>
                <w:sz w:val="20"/>
                <w:lang w:val="ru-RU"/>
              </w:rPr>
              <w:t>қажет</w:t>
            </w:r>
            <w:proofErr w:type="spellEnd"/>
            <w:r w:rsidRPr="00957F0A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8C50E3" w:rsidRPr="00A83132" w:rsidRDefault="008C50E3">
      <w:pPr>
        <w:rPr>
          <w:lang w:val="ru-RU"/>
        </w:rPr>
      </w:pPr>
    </w:p>
    <w:sectPr w:rsidR="008C50E3" w:rsidRPr="00A8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32"/>
    <w:rsid w:val="00386F70"/>
    <w:rsid w:val="008C50E3"/>
    <w:rsid w:val="00A8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3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3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dcterms:created xsi:type="dcterms:W3CDTF">2022-02-05T06:16:00Z</dcterms:created>
  <dcterms:modified xsi:type="dcterms:W3CDTF">2022-02-05T06:23:00Z</dcterms:modified>
</cp:coreProperties>
</file>